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E I G E N B E L E G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 der Aufwendung: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Betrag (brutto):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________________</w:t>
        <w:tab/>
        <w:tab/>
        <w:tab/>
        <w:t xml:space="preserve"> _______________________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Datum </w:t>
        <w:tab/>
        <w:tab/>
        <w:tab/>
        <w:tab/>
        <w:tab/>
        <w:t xml:space="preserve">Unterschrift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Hinweis: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Bei Eigenbelegen kann die Vorsteuer nicht geltend gemacht werden.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